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6A5260" w:rsidRPr="00C15E9E" w:rsidRDefault="006A5260" w:rsidP="00C15E9E">
      <w:pPr>
        <w:jc w:val="both"/>
        <w:rPr>
          <w:rFonts w:ascii="Calibri Light" w:hAnsi="Calibri Light"/>
        </w:rPr>
      </w:pPr>
    </w:p>
    <w:p w:rsidR="00681017" w:rsidRPr="000B2D91" w:rsidRDefault="00681017" w:rsidP="00681017"/>
    <w:p w:rsidR="00CF2587" w:rsidRDefault="00CF2587" w:rsidP="00CF2587">
      <w:pPr>
        <w:pStyle w:val="Heading1"/>
        <w:pBdr>
          <w:top w:val="single" w:sz="4" w:space="1" w:color="auto"/>
          <w:left w:val="single" w:sz="4" w:space="4" w:color="auto"/>
          <w:bottom w:val="single" w:sz="4" w:space="1" w:color="auto"/>
          <w:right w:val="single" w:sz="4" w:space="4" w:color="auto"/>
        </w:pBdr>
        <w:spacing w:before="40" w:after="240"/>
        <w:rPr>
          <w:color w:val="4F81BD" w:themeColor="accent1"/>
          <w:sz w:val="44"/>
        </w:rPr>
      </w:pPr>
      <w:r>
        <w:rPr>
          <w:color w:val="4F81BD" w:themeColor="accent1"/>
          <w:sz w:val="44"/>
        </w:rPr>
        <w:t>DUTY OF CARE POLICY</w:t>
      </w:r>
      <w:r w:rsidR="00FC3471">
        <w:rPr>
          <w:color w:val="4F81BD" w:themeColor="accent1"/>
          <w:sz w:val="44"/>
        </w:rPr>
        <w:t xml:space="preserve"> </w:t>
      </w:r>
      <w:r w:rsidR="00FC3471" w:rsidRPr="00FC3471">
        <w:rPr>
          <w:color w:val="4F81BD" w:themeColor="accent1"/>
          <w:sz w:val="24"/>
        </w:rPr>
        <w:t>2019-2</w:t>
      </w:r>
      <w:r w:rsidR="00FC3471">
        <w:rPr>
          <w:color w:val="4F81BD" w:themeColor="accent1"/>
          <w:sz w:val="24"/>
        </w:rPr>
        <w:t>022</w:t>
      </w:r>
    </w:p>
    <w:p w:rsidR="00396199" w:rsidRPr="00470126" w:rsidRDefault="00396199" w:rsidP="00396199">
      <w:pPr>
        <w:pStyle w:val="NormalWeb"/>
        <w:jc w:val="center"/>
        <w:rPr>
          <w:rFonts w:ascii="Calibri Light" w:hAnsi="Calibri Light" w:cs="Calibri Light"/>
          <w:b/>
          <w:bCs/>
          <w:sz w:val="18"/>
          <w:szCs w:val="18"/>
          <w:lang w:val="en"/>
        </w:rPr>
      </w:pPr>
      <w:r w:rsidRPr="00470126">
        <w:rPr>
          <w:rFonts w:ascii="Calibri Light" w:hAnsi="Calibri Light" w:cs="Calibri Light"/>
          <w:b/>
          <w:bCs/>
          <w:sz w:val="18"/>
          <w:szCs w:val="18"/>
          <w:lang w:val="en"/>
        </w:rPr>
        <w:t>Child Safe Standards</w:t>
      </w:r>
    </w:p>
    <w:p w:rsidR="00396199" w:rsidRPr="00470126" w:rsidRDefault="00396199" w:rsidP="00396199">
      <w:pPr>
        <w:pStyle w:val="NormalWeb"/>
        <w:jc w:val="center"/>
        <w:rPr>
          <w:rStyle w:val="Strong"/>
          <w:sz w:val="18"/>
          <w:szCs w:val="18"/>
        </w:rPr>
      </w:pPr>
      <w:r w:rsidRPr="00470126">
        <w:rPr>
          <w:rFonts w:ascii="Calibri Light" w:hAnsi="Calibri Light" w:cs="Calibri Light"/>
          <w:sz w:val="18"/>
          <w:szCs w:val="18"/>
          <w:lang w:val="en"/>
        </w:rPr>
        <w:t>Children have the right to be safe and protected, including at school.</w:t>
      </w:r>
    </w:p>
    <w:p w:rsidR="00396199" w:rsidRPr="00470126" w:rsidRDefault="00317FF8" w:rsidP="00396199">
      <w:pPr>
        <w:autoSpaceDE w:val="0"/>
        <w:autoSpaceDN w:val="0"/>
        <w:adjustRightInd w:val="0"/>
        <w:jc w:val="center"/>
        <w:rPr>
          <w:rStyle w:val="Strong"/>
          <w:rFonts w:ascii="Calibri Light" w:hAnsi="Calibri Light" w:cs="Calibri Light"/>
          <w:sz w:val="18"/>
          <w:szCs w:val="18"/>
        </w:rPr>
      </w:pPr>
      <w:hyperlink r:id="rId8" w:history="1">
        <w:r w:rsidR="00396199" w:rsidRPr="00470126">
          <w:rPr>
            <w:rStyle w:val="Hyperlink"/>
            <w:rFonts w:ascii="Calibri Light" w:hAnsi="Calibri Light" w:cs="Calibri Light"/>
            <w:sz w:val="18"/>
            <w:szCs w:val="18"/>
          </w:rPr>
          <w:t>http://www.vrqa.vic.gov.au/childsafe</w:t>
        </w:r>
      </w:hyperlink>
    </w:p>
    <w:p w:rsidR="00CF2587" w:rsidRPr="00596E78" w:rsidRDefault="00CF2587" w:rsidP="00CF2587">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CF2587" w:rsidRDefault="00CF2587" w:rsidP="00CF2587">
      <w:pPr>
        <w:spacing w:before="40" w:after="240"/>
        <w:jc w:val="both"/>
      </w:pPr>
      <w:r w:rsidRPr="00FF206B">
        <w:t xml:space="preserve">The purpose of this </w:t>
      </w:r>
      <w:r w:rsidRPr="00FC3471">
        <w:t xml:space="preserve">policy is to explain to our school community the non-delegable duty of care obligations that all staff at </w:t>
      </w:r>
      <w:r w:rsidR="00FC3471" w:rsidRPr="00FC3471">
        <w:t>Kennington Primary School</w:t>
      </w:r>
      <w:r w:rsidRPr="00FC3471">
        <w:t xml:space="preserve"> owe to our students and members of the school community who visit and use the school premises.</w:t>
      </w:r>
      <w:r w:rsidRPr="00FF206B">
        <w:t xml:space="preserve"> </w:t>
      </w:r>
    </w:p>
    <w:p w:rsidR="00CF2587" w:rsidRPr="00596E78" w:rsidRDefault="00CF2587" w:rsidP="00317FF8">
      <w:pPr>
        <w:tabs>
          <w:tab w:val="left" w:pos="4245"/>
        </w:tab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r w:rsidR="00317FF8">
        <w:rPr>
          <w:rFonts w:asciiTheme="majorHAnsi" w:eastAsiaTheme="majorEastAsia" w:hAnsiTheme="majorHAnsi" w:cstheme="majorBidi"/>
          <w:b/>
          <w:caps/>
          <w:color w:val="4F81BD" w:themeColor="accent1"/>
          <w:sz w:val="26"/>
          <w:szCs w:val="26"/>
        </w:rPr>
        <w:tab/>
      </w:r>
      <w:bookmarkStart w:id="0" w:name="_GoBack"/>
      <w:bookmarkEnd w:id="0"/>
    </w:p>
    <w:p w:rsidR="00CF2587" w:rsidRPr="00FF206B" w:rsidRDefault="00CF2587" w:rsidP="00CF2587">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rsidR="00CF2587" w:rsidRPr="00FF206B" w:rsidRDefault="00CF2587" w:rsidP="00CF2587">
      <w:pPr>
        <w:spacing w:before="40" w:after="240"/>
        <w:jc w:val="both"/>
      </w:pPr>
      <w:r>
        <w:t xml:space="preserve">Our school has developed policies and procedures to manage common risks in the school environment, </w:t>
      </w:r>
      <w:r w:rsidRPr="00FF206B">
        <w:t>including:</w:t>
      </w:r>
    </w:p>
    <w:p w:rsidR="00CF2587" w:rsidRPr="00FC3471" w:rsidRDefault="00CF2587" w:rsidP="00CF2587">
      <w:pPr>
        <w:pStyle w:val="ListParagraph"/>
        <w:numPr>
          <w:ilvl w:val="0"/>
          <w:numId w:val="29"/>
        </w:numPr>
        <w:spacing w:before="40" w:after="240"/>
        <w:jc w:val="both"/>
      </w:pPr>
      <w:r w:rsidRPr="00FC3471">
        <w:t>Yard duty and Supervision</w:t>
      </w:r>
    </w:p>
    <w:p w:rsidR="00CF2587" w:rsidRPr="00FC3471" w:rsidRDefault="00CF2587" w:rsidP="00CF2587">
      <w:pPr>
        <w:pStyle w:val="ListParagraph"/>
        <w:numPr>
          <w:ilvl w:val="0"/>
          <w:numId w:val="29"/>
        </w:numPr>
        <w:spacing w:before="40" w:after="240"/>
        <w:jc w:val="both"/>
      </w:pPr>
      <w:r w:rsidRPr="00FC3471">
        <w:t xml:space="preserve">Bullying Prevention </w:t>
      </w:r>
    </w:p>
    <w:p w:rsidR="00CF2587" w:rsidRPr="00FC3471" w:rsidRDefault="00CF2587" w:rsidP="00CF2587">
      <w:pPr>
        <w:pStyle w:val="ListParagraph"/>
        <w:numPr>
          <w:ilvl w:val="0"/>
          <w:numId w:val="29"/>
        </w:numPr>
        <w:spacing w:before="40" w:after="240"/>
        <w:jc w:val="both"/>
      </w:pPr>
      <w:r w:rsidRPr="00FC3471">
        <w:t>Camps and Excursions</w:t>
      </w:r>
    </w:p>
    <w:p w:rsidR="00CF2587" w:rsidRPr="00FC3471" w:rsidRDefault="00CF2587" w:rsidP="00CF2587">
      <w:pPr>
        <w:pStyle w:val="ListParagraph"/>
        <w:numPr>
          <w:ilvl w:val="0"/>
          <w:numId w:val="29"/>
        </w:numPr>
        <w:spacing w:before="40" w:after="240"/>
        <w:jc w:val="both"/>
      </w:pPr>
      <w:r w:rsidRPr="00FC3471">
        <w:t>First Aid</w:t>
      </w:r>
    </w:p>
    <w:p w:rsidR="00CF2587" w:rsidRPr="00FC3471" w:rsidRDefault="00CF2587" w:rsidP="00CF2587">
      <w:pPr>
        <w:pStyle w:val="ListParagraph"/>
        <w:numPr>
          <w:ilvl w:val="0"/>
          <w:numId w:val="29"/>
        </w:numPr>
        <w:spacing w:before="40" w:after="240"/>
        <w:jc w:val="both"/>
      </w:pPr>
      <w:r w:rsidRPr="00FC3471">
        <w:t xml:space="preserve">Grounds Maintenance </w:t>
      </w:r>
    </w:p>
    <w:p w:rsidR="00CF2587" w:rsidRPr="00FC3471" w:rsidRDefault="00CF2587" w:rsidP="00CF2587">
      <w:pPr>
        <w:pStyle w:val="ListParagraph"/>
        <w:numPr>
          <w:ilvl w:val="0"/>
          <w:numId w:val="29"/>
        </w:numPr>
        <w:spacing w:before="40" w:after="240"/>
        <w:jc w:val="both"/>
      </w:pPr>
      <w:r w:rsidRPr="00FC3471">
        <w:t xml:space="preserve">Student Private Property </w:t>
      </w:r>
    </w:p>
    <w:p w:rsidR="00CF2587" w:rsidRPr="00FC3471" w:rsidRDefault="00CF2587" w:rsidP="00FC3471">
      <w:pPr>
        <w:pStyle w:val="ListParagraph"/>
        <w:numPr>
          <w:ilvl w:val="0"/>
          <w:numId w:val="29"/>
        </w:numPr>
        <w:spacing w:before="40" w:after="240"/>
        <w:jc w:val="both"/>
      </w:pPr>
      <w:r w:rsidRPr="00FC3471">
        <w:t>Child Safe Standards</w:t>
      </w:r>
    </w:p>
    <w:p w:rsidR="00CF2587" w:rsidRPr="00FC3471" w:rsidRDefault="00CF2587" w:rsidP="00CF2587">
      <w:pPr>
        <w:pStyle w:val="ListParagraph"/>
        <w:numPr>
          <w:ilvl w:val="0"/>
          <w:numId w:val="29"/>
        </w:numPr>
        <w:spacing w:before="40" w:after="240"/>
        <w:jc w:val="both"/>
      </w:pPr>
      <w:r w:rsidRPr="00FC3471">
        <w:t>Emergency Management</w:t>
      </w:r>
    </w:p>
    <w:p w:rsidR="00CF2587" w:rsidRPr="00FC3471" w:rsidRDefault="00CF2587" w:rsidP="00CF2587">
      <w:pPr>
        <w:pStyle w:val="ListParagraph"/>
        <w:numPr>
          <w:ilvl w:val="0"/>
          <w:numId w:val="29"/>
        </w:numPr>
        <w:spacing w:before="40" w:after="240"/>
        <w:jc w:val="both"/>
      </w:pPr>
      <w:r w:rsidRPr="00FC3471">
        <w:t>Volunteers</w:t>
      </w:r>
    </w:p>
    <w:p w:rsidR="00CF2587" w:rsidRPr="00FC3471" w:rsidRDefault="00CF2587" w:rsidP="00CF2587">
      <w:pPr>
        <w:pStyle w:val="ListParagraph"/>
        <w:numPr>
          <w:ilvl w:val="0"/>
          <w:numId w:val="29"/>
        </w:numPr>
        <w:spacing w:before="40" w:after="240"/>
        <w:jc w:val="both"/>
      </w:pPr>
      <w:r w:rsidRPr="00FC3471">
        <w:t>Visitors</w:t>
      </w:r>
    </w:p>
    <w:p w:rsidR="00CF2587" w:rsidRPr="00FC3471" w:rsidRDefault="00CF2587" w:rsidP="00CF2587">
      <w:pPr>
        <w:pStyle w:val="ListParagraph"/>
        <w:numPr>
          <w:ilvl w:val="0"/>
          <w:numId w:val="29"/>
        </w:numPr>
        <w:spacing w:before="40" w:after="240"/>
        <w:jc w:val="both"/>
      </w:pPr>
      <w:r w:rsidRPr="00FC3471">
        <w:t>Working with Children and Suitability Checks</w:t>
      </w:r>
    </w:p>
    <w:p w:rsidR="00CF2587" w:rsidRPr="00FC3471" w:rsidRDefault="00CF2587" w:rsidP="00CF2587">
      <w:pPr>
        <w:pStyle w:val="ListParagraph"/>
        <w:numPr>
          <w:ilvl w:val="0"/>
          <w:numId w:val="29"/>
        </w:numPr>
        <w:spacing w:before="40" w:after="240"/>
        <w:jc w:val="both"/>
      </w:pPr>
      <w:r w:rsidRPr="00FC3471">
        <w:t>Mandatory Reporting</w:t>
      </w:r>
    </w:p>
    <w:p w:rsidR="00CF2587" w:rsidRPr="00FC3471" w:rsidRDefault="00CF2587" w:rsidP="00CF2587">
      <w:pPr>
        <w:pStyle w:val="ListParagraph"/>
        <w:numPr>
          <w:ilvl w:val="0"/>
          <w:numId w:val="29"/>
        </w:numPr>
        <w:spacing w:before="40" w:after="240"/>
        <w:jc w:val="both"/>
      </w:pPr>
      <w:r w:rsidRPr="00FC3471">
        <w:t>Occupational Health and Safety</w:t>
      </w:r>
    </w:p>
    <w:p w:rsidR="00CF2587" w:rsidRDefault="00CF2587" w:rsidP="00CF2587">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CF2587" w:rsidRPr="00FF206B" w:rsidRDefault="00CF2587" w:rsidP="00CF2587">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rsidR="00CF2587" w:rsidRPr="00086A3D" w:rsidRDefault="00CF2587" w:rsidP="00CF2587">
      <w:pPr>
        <w:spacing w:before="40" w:after="240"/>
        <w:jc w:val="both"/>
      </w:pPr>
      <w:r w:rsidRPr="00843871">
        <w:rPr>
          <w:rFonts w:asciiTheme="majorHAnsi" w:eastAsiaTheme="majorEastAsia" w:hAnsiTheme="majorHAnsi" w:cstheme="majorBidi"/>
          <w:b/>
        </w:rPr>
        <w:t>External Providers</w:t>
      </w:r>
    </w:p>
    <w:p w:rsidR="00CF2587" w:rsidRDefault="00CF2587" w:rsidP="00CF2587">
      <w:pPr>
        <w:spacing w:before="40" w:after="240"/>
        <w:jc w:val="both"/>
      </w:pPr>
      <w:r>
        <w:lastRenderedPageBreak/>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A80A15">
        <w:rPr>
          <w:i/>
        </w:rPr>
        <w:t>Visitors Policy</w:t>
      </w:r>
      <w:r>
        <w:t xml:space="preserve"> and </w:t>
      </w:r>
      <w:r w:rsidRPr="00A80A15">
        <w:rPr>
          <w:i/>
        </w:rPr>
        <w:t>Camps and Excursions Policy</w:t>
      </w:r>
      <w:r>
        <w:t xml:space="preserve"> include information on the safety and care of our students when engaged with external providers.  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rsidR="00CF2587" w:rsidRDefault="00317FF8" w:rsidP="00CF2587">
      <w:pPr>
        <w:spacing w:before="40" w:after="240"/>
        <w:jc w:val="both"/>
      </w:pPr>
      <w:hyperlink r:id="rId9" w:history="1">
        <w:r w:rsidR="00CF2587" w:rsidRPr="004252D7">
          <w:rPr>
            <w:rStyle w:val="Hyperlink"/>
          </w:rPr>
          <w:t>https://www.education.vic.gov.au/school/principals/spag/curriculum/pages/workplace.aspx</w:t>
        </w:r>
      </w:hyperlink>
      <w:r w:rsidR="00CF2587">
        <w:t xml:space="preserve">  </w:t>
      </w:r>
    </w:p>
    <w:p w:rsidR="00CF2587" w:rsidRPr="00B808E5" w:rsidRDefault="00CF2587" w:rsidP="00CF2587">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w:t>
      </w:r>
      <w:r w:rsidRPr="00B808E5">
        <w:rPr>
          <w:rFonts w:asciiTheme="majorHAnsi" w:eastAsiaTheme="majorEastAsia" w:hAnsiTheme="majorHAnsi" w:cstheme="majorBidi"/>
          <w:b/>
          <w:caps/>
          <w:color w:val="4F81BD" w:themeColor="accent1"/>
          <w:sz w:val="26"/>
          <w:szCs w:val="26"/>
        </w:rPr>
        <w:t xml:space="preserve"> and resources</w:t>
      </w:r>
    </w:p>
    <w:p w:rsidR="00CF2587" w:rsidRDefault="00CF2587" w:rsidP="00CF2587">
      <w:pPr>
        <w:pStyle w:val="ListParagraph"/>
        <w:numPr>
          <w:ilvl w:val="0"/>
          <w:numId w:val="30"/>
        </w:numPr>
        <w:spacing w:before="40" w:after="240"/>
        <w:jc w:val="both"/>
      </w:pPr>
      <w:r>
        <w:t xml:space="preserve">School Policy and Advisory Guide: </w:t>
      </w:r>
      <w:hyperlink r:id="rId10" w:history="1">
        <w:r w:rsidRPr="00B808E5">
          <w:rPr>
            <w:rStyle w:val="Hyperlink"/>
          </w:rPr>
          <w:t>Duty of Care</w:t>
        </w:r>
      </w:hyperlink>
      <w:r>
        <w:t xml:space="preserve"> </w:t>
      </w:r>
    </w:p>
    <w:p w:rsidR="00CF2587" w:rsidRPr="00FF206B" w:rsidRDefault="00CF2587" w:rsidP="00CF2587">
      <w:pPr>
        <w:pStyle w:val="ListParagraph"/>
        <w:numPr>
          <w:ilvl w:val="0"/>
          <w:numId w:val="30"/>
        </w:numPr>
        <w:spacing w:before="40" w:after="240"/>
        <w:jc w:val="both"/>
      </w:pPr>
      <w:r>
        <w:t xml:space="preserve">School Policy and Advisory Guide: </w:t>
      </w:r>
      <w:hyperlink r:id="rId11" w:history="1">
        <w:r w:rsidRPr="00086A3D">
          <w:rPr>
            <w:rStyle w:val="Hyperlink"/>
          </w:rPr>
          <w:t>Workplace Learning</w:t>
        </w:r>
      </w:hyperlink>
    </w:p>
    <w:p w:rsidR="00CF2587" w:rsidRPr="00B808E5" w:rsidRDefault="00CF2587" w:rsidP="00CF2587">
      <w:pPr>
        <w:pStyle w:val="NoSpacing"/>
        <w:spacing w:before="40" w:after="240"/>
        <w:jc w:val="both"/>
        <w:outlineLvl w:val="1"/>
        <w:rPr>
          <w:rFonts w:asciiTheme="majorHAnsi" w:eastAsiaTheme="majorEastAsia" w:hAnsiTheme="majorHAnsi" w:cstheme="majorBidi"/>
          <w:b/>
          <w:caps/>
          <w:color w:val="4F81BD" w:themeColor="accent1"/>
          <w:sz w:val="26"/>
          <w:szCs w:val="26"/>
        </w:rPr>
      </w:pPr>
      <w:r w:rsidRPr="00B808E5">
        <w:rPr>
          <w:rFonts w:asciiTheme="majorHAnsi" w:eastAsiaTheme="majorEastAsia" w:hAnsiTheme="majorHAnsi" w:cstheme="majorBidi"/>
          <w:b/>
          <w:caps/>
          <w:color w:val="4F81BD" w:themeColor="accent1"/>
          <w:sz w:val="26"/>
          <w:szCs w:val="26"/>
        </w:rPr>
        <w:t>Review Cycle</w:t>
      </w:r>
    </w:p>
    <w:p w:rsidR="00CF2587" w:rsidRPr="00FF206B" w:rsidRDefault="00FC3471" w:rsidP="00CF2587">
      <w:pPr>
        <w:spacing w:before="40" w:after="240"/>
        <w:jc w:val="both"/>
      </w:pPr>
      <w:r>
        <w:t>This policy was last updated in August 2019 and is scheduled for review in October 2022.</w:t>
      </w:r>
    </w:p>
    <w:p w:rsidR="0057768C" w:rsidRPr="00753CE3" w:rsidRDefault="00753CE3" w:rsidP="00681017">
      <w:pPr>
        <w:jc w:val="both"/>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REVIEW CYCLE</w:t>
      </w:r>
    </w:p>
    <w:p w:rsidR="0057768C" w:rsidRDefault="0057768C" w:rsidP="00753CE3">
      <w:pPr>
        <w:jc w:val="both"/>
        <w:rPr>
          <w:rFonts w:ascii="Calibri Light" w:hAnsi="Calibri Light"/>
        </w:rPr>
      </w:pPr>
      <w:r w:rsidRPr="00753CE3">
        <w:rPr>
          <w:rFonts w:ascii="Calibri Light" w:hAnsi="Calibri Light"/>
        </w:rPr>
        <w:t xml:space="preserve">This policy will be reviewed </w:t>
      </w:r>
      <w:r w:rsidR="00201E92" w:rsidRPr="00753CE3">
        <w:rPr>
          <w:rFonts w:ascii="Calibri Light" w:hAnsi="Calibri Light"/>
        </w:rPr>
        <w:t xml:space="preserve">annually </w:t>
      </w:r>
      <w:r w:rsidRPr="00753CE3">
        <w:rPr>
          <w:rFonts w:ascii="Calibri Light" w:hAnsi="Calibri Light"/>
        </w:rPr>
        <w:t>as part of the school’s three-year review cycle.</w:t>
      </w:r>
    </w:p>
    <w:p w:rsidR="00753CE3" w:rsidRDefault="00753CE3" w:rsidP="00753CE3">
      <w:pPr>
        <w:jc w:val="both"/>
        <w:rPr>
          <w:rFonts w:ascii="Calibri Light" w:hAnsi="Calibri Light"/>
        </w:rPr>
      </w:pPr>
    </w:p>
    <w:p w:rsidR="00753CE3" w:rsidRPr="00FC3471"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sidRPr="00BC78B1">
        <w:rPr>
          <w:rFonts w:ascii="Calibri Light" w:hAnsi="Calibri Light"/>
        </w:rPr>
        <w:t>This policy was last ratified by School Council in</w:t>
      </w:r>
      <w:r w:rsidR="00C15E9E" w:rsidRPr="00BC78B1">
        <w:rPr>
          <w:rFonts w:ascii="Calibri Light" w:hAnsi="Calibri Light"/>
        </w:rPr>
        <w:t xml:space="preserve"> </w:t>
      </w:r>
      <w:r w:rsidR="00BC78B1" w:rsidRPr="00BC78B1">
        <w:rPr>
          <w:rFonts w:ascii="Calibri Light" w:hAnsi="Calibri Light"/>
        </w:rPr>
        <w:t>October</w:t>
      </w:r>
      <w:r w:rsidR="00FC3471" w:rsidRPr="00BC78B1">
        <w:rPr>
          <w:rFonts w:ascii="Calibri Light" w:hAnsi="Calibri Light"/>
        </w:rPr>
        <w:t xml:space="preserve"> </w:t>
      </w:r>
      <w:r w:rsidRPr="00BC78B1">
        <w:rPr>
          <w:rFonts w:ascii="Calibri Light" w:hAnsi="Calibri Light"/>
        </w:rPr>
        <w:t>201</w:t>
      </w:r>
      <w:r w:rsidR="00FE5656" w:rsidRPr="00BC78B1">
        <w:rPr>
          <w:rFonts w:ascii="Calibri Light" w:hAnsi="Calibri Light"/>
        </w:rPr>
        <w:t>9</w:t>
      </w:r>
      <w:r w:rsidR="00C15E9E" w:rsidRPr="00BC78B1">
        <w:rPr>
          <w:rFonts w:ascii="Calibri Light" w:hAnsi="Calibri Light"/>
        </w:rPr>
        <w:t xml:space="preserve"> and will be reviewed in</w:t>
      </w:r>
      <w:r w:rsidR="00FC3471" w:rsidRPr="00BC78B1">
        <w:rPr>
          <w:rFonts w:ascii="Calibri Light" w:hAnsi="Calibri Light"/>
        </w:rPr>
        <w:t xml:space="preserve"> October 2022.</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footerReference w:type="default" r:id="rId12"/>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
        <w:separator/>
      </w:r>
    </w:p>
  </w:endnote>
  <w:endnote w:type="continuationSeparator" w:id="0">
    <w:p w:rsidR="00201E92" w:rsidRDefault="002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Pr="006A5260" w:rsidRDefault="00201E92" w:rsidP="00D77A72">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
        <w:separator/>
      </w:r>
    </w:p>
  </w:footnote>
  <w:footnote w:type="continuationSeparator" w:id="0">
    <w:p w:rsidR="00201E92" w:rsidRDefault="0020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8"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4"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6"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5"/>
  </w:num>
  <w:num w:numId="4">
    <w:abstractNumId w:val="17"/>
  </w:num>
  <w:num w:numId="5">
    <w:abstractNumId w:val="23"/>
  </w:num>
  <w:num w:numId="6">
    <w:abstractNumId w:val="9"/>
  </w:num>
  <w:num w:numId="7">
    <w:abstractNumId w:val="15"/>
  </w:num>
  <w:num w:numId="8">
    <w:abstractNumId w:val="22"/>
  </w:num>
  <w:num w:numId="9">
    <w:abstractNumId w:val="13"/>
  </w:num>
  <w:num w:numId="10">
    <w:abstractNumId w:val="18"/>
  </w:num>
  <w:num w:numId="11">
    <w:abstractNumId w:val="8"/>
  </w:num>
  <w:num w:numId="12">
    <w:abstractNumId w:val="2"/>
  </w:num>
  <w:num w:numId="13">
    <w:abstractNumId w:val="24"/>
  </w:num>
  <w:num w:numId="14">
    <w:abstractNumId w:val="4"/>
  </w:num>
  <w:num w:numId="15">
    <w:abstractNumId w:val="12"/>
  </w:num>
  <w:num w:numId="16">
    <w:abstractNumId w:val="26"/>
  </w:num>
  <w:num w:numId="17">
    <w:abstractNumId w:val="19"/>
  </w:num>
  <w:num w:numId="18">
    <w:abstractNumId w:val="14"/>
  </w:num>
  <w:num w:numId="19">
    <w:abstractNumId w:val="5"/>
  </w:num>
  <w:num w:numId="20">
    <w:abstractNumId w:val="28"/>
  </w:num>
  <w:num w:numId="21">
    <w:abstractNumId w:val="11"/>
  </w:num>
  <w:num w:numId="22">
    <w:abstractNumId w:val="16"/>
  </w:num>
  <w:num w:numId="23">
    <w:abstractNumId w:val="3"/>
  </w:num>
  <w:num w:numId="24">
    <w:abstractNumId w:val="6"/>
  </w:num>
  <w:num w:numId="25">
    <w:abstractNumId w:val="27"/>
  </w:num>
  <w:num w:numId="26">
    <w:abstractNumId w:val="7"/>
  </w:num>
  <w:num w:numId="27">
    <w:abstractNumId w:val="10"/>
  </w:num>
  <w:num w:numId="28">
    <w:abstractNumId w:val="21"/>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D5AB1"/>
    <w:rsid w:val="000F174D"/>
    <w:rsid w:val="001B1EF4"/>
    <w:rsid w:val="00201E92"/>
    <w:rsid w:val="002076E9"/>
    <w:rsid w:val="002453AA"/>
    <w:rsid w:val="00293D23"/>
    <w:rsid w:val="002A1E58"/>
    <w:rsid w:val="00317FF8"/>
    <w:rsid w:val="00396199"/>
    <w:rsid w:val="003B514B"/>
    <w:rsid w:val="004F7805"/>
    <w:rsid w:val="00503D04"/>
    <w:rsid w:val="00517EAD"/>
    <w:rsid w:val="00563D50"/>
    <w:rsid w:val="0057768C"/>
    <w:rsid w:val="00681017"/>
    <w:rsid w:val="006A5260"/>
    <w:rsid w:val="00741726"/>
    <w:rsid w:val="00753CE3"/>
    <w:rsid w:val="00774B62"/>
    <w:rsid w:val="00783509"/>
    <w:rsid w:val="007C357A"/>
    <w:rsid w:val="0081362A"/>
    <w:rsid w:val="008805B1"/>
    <w:rsid w:val="008B2757"/>
    <w:rsid w:val="008C45F5"/>
    <w:rsid w:val="00911550"/>
    <w:rsid w:val="009A68E8"/>
    <w:rsid w:val="009C4903"/>
    <w:rsid w:val="009E2477"/>
    <w:rsid w:val="009F1B15"/>
    <w:rsid w:val="00A04919"/>
    <w:rsid w:val="00A133AD"/>
    <w:rsid w:val="00B70CE8"/>
    <w:rsid w:val="00BC78B1"/>
    <w:rsid w:val="00BC79DC"/>
    <w:rsid w:val="00C15E9E"/>
    <w:rsid w:val="00C60B47"/>
    <w:rsid w:val="00CF2587"/>
    <w:rsid w:val="00D77A72"/>
    <w:rsid w:val="00DA34D7"/>
    <w:rsid w:val="00DE33E7"/>
    <w:rsid w:val="00E109AA"/>
    <w:rsid w:val="00E20074"/>
    <w:rsid w:val="00E24383"/>
    <w:rsid w:val="00E256DD"/>
    <w:rsid w:val="00E9189E"/>
    <w:rsid w:val="00EF1CC2"/>
    <w:rsid w:val="00F31900"/>
    <w:rsid w:val="00F3575C"/>
    <w:rsid w:val="00F74457"/>
    <w:rsid w:val="00F77CCB"/>
    <w:rsid w:val="00FC3471"/>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black"/>
    </o:shapedefaults>
    <o:shapelayout v:ext="edit">
      <o:idmap v:ext="edit" data="1"/>
    </o:shapelayout>
  </w:shapeDefaults>
  <w:decimalSymbol w:val="."/>
  <w:listSeparator w:val=","/>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uiPriority w:val="99"/>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paragraph" w:styleId="NoSpacing">
    <w:name w:val="No Spacing"/>
    <w:uiPriority w:val="1"/>
    <w:qFormat/>
    <w:rsid w:val="00CF2587"/>
    <w:rPr>
      <w:rFonts w:ascii="Calibri" w:eastAsiaTheme="minorHAnsi" w:hAnsi="Calibri" w:cs="Calibri"/>
      <w:sz w:val="22"/>
      <w:szCs w:val="22"/>
      <w:lang w:eastAsia="en-US"/>
    </w:rPr>
  </w:style>
  <w:style w:type="character" w:styleId="Strong">
    <w:name w:val="Strong"/>
    <w:uiPriority w:val="22"/>
    <w:qFormat/>
    <w:rsid w:val="00396199"/>
    <w:rPr>
      <w:b w:val="0"/>
      <w:bCs w:val="0"/>
    </w:rPr>
  </w:style>
  <w:style w:type="paragraph" w:styleId="NormalWeb">
    <w:name w:val="Normal (Web)"/>
    <w:basedOn w:val="Normal"/>
    <w:uiPriority w:val="99"/>
    <w:semiHidden/>
    <w:unhideWhenUsed/>
    <w:rsid w:val="00396199"/>
    <w:rPr>
      <w:rFonts w:eastAsia="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curriculum/pages/workplace.aspx" TargetMode="External"/><Relationship Id="rId5" Type="http://schemas.openxmlformats.org/officeDocument/2006/relationships/footnotes" Target="footnotes.xml"/><Relationship Id="rId10" Type="http://schemas.openxmlformats.org/officeDocument/2006/relationships/hyperlink" Target="http://www.education.vic.gov.au/school/principals/spag/safety/Pages/dutyofcare.aspx" TargetMode="External"/><Relationship Id="rId4" Type="http://schemas.openxmlformats.org/officeDocument/2006/relationships/webSettings" Target="webSettings.xml"/><Relationship Id="rId9" Type="http://schemas.openxmlformats.org/officeDocument/2006/relationships/hyperlink" Target="https://www.education.vic.gov.au/school/principals/spag/curriculum/pages/workpla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3829</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5</cp:revision>
  <cp:lastPrinted>2018-04-30T05:41:00Z</cp:lastPrinted>
  <dcterms:created xsi:type="dcterms:W3CDTF">2019-08-18T01:55:00Z</dcterms:created>
  <dcterms:modified xsi:type="dcterms:W3CDTF">2021-02-16T03:32:00Z</dcterms:modified>
</cp:coreProperties>
</file>